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web2002.co.kr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2026-09-02 01:10:52 · 0.9초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A (종합 89점)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현재 수준을 유지하면서, 남은 항목을 마저 채우면 A등급 상위권으로 올라갈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89점 (A등급)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100점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93점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89/100 — web2002.co.kr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100점입니다.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75점 —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응답 속도  [SEO +4점]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532ms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응답이 느리면 검색엔진 순위와 이탈률에 불리합니다.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높음 · 예상 소요 서버/이미지 최적화,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Core Web Vitals / PageSpeed Insights 기준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이미지 alt 속성  [SEO +3점]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74%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89점(A등급) → 우선 액션 3건 적용 후 100점(A등급)  (+11점)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100→100 · SEO 93→100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100점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30082자 (비율 18.1%)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ContactPoint, ItemList, ListItem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93점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532ms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6개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25개,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web2002.co.kr은(는)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web2002.co.kr을(를)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ContactPoint, ItemList, ListItem,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 | 홈페이지 제작 전문 | 15년 연속 웹어워드 수상 웹에이전시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쓰리웨이는 3,000건 이상의 실적과 반응형 웹, SEO 최적화, 사후 유지관리까지 원스톱으로 제공합니다.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응답이 느리면 검색엔진 순위와 이탈률에 불리합니다.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&lt;img src="..." alt="이미지 내용을 설명하는 짧은 문구"&gt;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