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www.web2002.co.kr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2026-10-28 01:02:39 · 0.8초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A (종합 90점)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15:45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현재 수준을 유지하면서, 남은 항목을 마저 채우면 A등급 상위권으로 올라갈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90점 (A등급)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100점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94점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90/100 — www.web2002.co.kr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100점입니다.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75점 —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응답 속도  [SEO +4점]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502ms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응답이 느리면 검색엔진 순위와 이탈률에 불리합니다.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높음 · 예상 소요 서버/이미지 최적화,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Core Web Vitals / PageSpeed Insights 기준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이미지 alt 속성  [SEO +2점]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75%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90점(A등급) → 우선 액션 3건 적용 후 100점(A등급)  (+10점)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100→100 · SEO 94→100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100점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30181자 (비율 17.9%)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ContactPoint, ItemList, ListItem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94점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502ms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7개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27개,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ContactPoint, ItemList, ListItem,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 | 홈페이지 제작 전문 | 15년 연속 웹어워드 수상 웹에이전시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15년 연속 웹어워드 수상 웹에이전시 쓰리웨이. 3,000건 이상의 실적과 반응형 웹, SEO 최적화, 사후 유지관리까지 원스톱으로 제공합니다.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+17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응답이 느리면 검색엔진 순위와 이탈률에 불리합니다.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&lt;img src="..." alt="이미지 내용을 설명하는 짧은 문구"&gt;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